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088"/>
      </w:tblGrid>
      <w:tr w:rsidR="00D91A78" w:rsidRPr="00D91A78" w:rsidTr="00BC597E"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C5BF4" w:rsidRDefault="00BC597E" w:rsidP="00A75FE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Department visit</w:t>
            </w:r>
          </w:p>
          <w:p w:rsidR="0039465B" w:rsidRPr="00D91A78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  <w:tr w:rsidR="00165E8E" w:rsidRPr="00D91A78" w:rsidTr="00BC597E">
        <w:trPr>
          <w:trHeight w:val="50"/>
        </w:trPr>
        <w:tc>
          <w:tcPr>
            <w:tcW w:w="32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39465B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E8E" w:rsidRDefault="00BC597E" w:rsidP="00BC59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nl-NL" w:eastAsia="fi-FI"/>
              </w:rPr>
              <w:t>Tredu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nl-NL" w:eastAsia="fi-FI"/>
              </w:rPr>
              <w:t xml:space="preserve"> </w:t>
            </w:r>
          </w:p>
          <w:p w:rsidR="00BC597E" w:rsidRPr="00BC597E" w:rsidRDefault="00BC597E" w:rsidP="00BC59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val="nl-NL" w:eastAsia="fi-FI"/>
              </w:rPr>
            </w:pPr>
          </w:p>
        </w:tc>
      </w:tr>
    </w:tbl>
    <w:tbl>
      <w:tblPr>
        <w:tblStyle w:val="Tabelraster"/>
        <w:tblW w:w="10348" w:type="dxa"/>
        <w:tblInd w:w="-431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80EFE" w:rsidRPr="00D91A78" w:rsidTr="00480EFE">
        <w:trPr>
          <w:trHeight w:val="66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C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>o-operation and connection with healthcare companies/care units/ sheltered housing and their clients/patients</w:t>
            </w:r>
            <w:r>
              <w:rPr>
                <w:rFonts w:ascii="Arial" w:hAnsi="Arial" w:cs="Arial"/>
                <w:color w:val="002060"/>
                <w:lang w:val="en-GB"/>
              </w:rPr>
              <w:t>.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D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>evelop co-operation and communication skills with the patients and multidimensional working environment</w:t>
            </w:r>
            <w:r>
              <w:rPr>
                <w:rFonts w:ascii="Arial" w:hAnsi="Arial" w:cs="Arial"/>
                <w:color w:val="002060"/>
                <w:lang w:val="en-GB"/>
              </w:rPr>
              <w:t>.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D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>evelop guidance skills and group leading skills</w:t>
            </w:r>
            <w:r>
              <w:rPr>
                <w:rFonts w:ascii="Arial" w:hAnsi="Arial" w:cs="Arial"/>
                <w:color w:val="002060"/>
                <w:lang w:val="en-GB"/>
              </w:rPr>
              <w:t>.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P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>rovide individual and/or group activities by using computer based applications</w:t>
            </w:r>
            <w:r>
              <w:rPr>
                <w:rFonts w:ascii="Arial" w:hAnsi="Arial" w:cs="Arial"/>
                <w:color w:val="002060"/>
                <w:lang w:val="en-GB"/>
              </w:rPr>
              <w:t>.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:rsidR="00480EFE" w:rsidRPr="00480EFE" w:rsidRDefault="00480EFE" w:rsidP="00480EFE">
            <w:pPr>
              <w:pStyle w:val="Normaali"/>
              <w:spacing w:after="0" w:line="240" w:lineRule="auto"/>
              <w:ind w:left="179" w:hanging="179"/>
              <w:rPr>
                <w:color w:val="002060"/>
                <w:lang w:val="en-GB"/>
              </w:rPr>
            </w:pP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480EFE" w:rsidRPr="00480EFE" w:rsidRDefault="00480EFE" w:rsidP="00480EFE">
            <w:pPr>
              <w:pStyle w:val="Normaali"/>
              <w:spacing w:after="0" w:line="240" w:lineRule="auto"/>
              <w:rPr>
                <w:color w:val="002060"/>
              </w:rPr>
            </w:pPr>
            <w:r>
              <w:rPr>
                <w:rStyle w:val="Kappaleenoletusfontti"/>
                <w:rFonts w:ascii="Arial" w:hAnsi="Arial" w:cs="Arial"/>
                <w:color w:val="002060"/>
                <w:lang w:val="en-US"/>
              </w:rPr>
              <w:t>S</w:t>
            </w:r>
            <w:r w:rsidRPr="00480EFE">
              <w:rPr>
                <w:rStyle w:val="Kappaleenoletusfontti"/>
                <w:rFonts w:ascii="Arial" w:hAnsi="Arial" w:cs="Arial"/>
                <w:color w:val="002060"/>
                <w:lang w:val="en-US"/>
              </w:rPr>
              <w:t>chool, visits in real working life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480EFE" w:rsidRDefault="00480EFE" w:rsidP="00A30CB7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S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tudents,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T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>eacher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W</w:t>
            </w: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orking life staff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rPr>
                <w:color w:val="002060"/>
              </w:rPr>
            </w:pPr>
            <w:r>
              <w:rPr>
                <w:rStyle w:val="Kappaleenoletusfontti"/>
                <w:rFonts w:ascii="Arial" w:hAnsi="Arial" w:cs="Arial"/>
                <w:color w:val="002060"/>
                <w:lang w:val="en-GB"/>
              </w:rPr>
              <w:t>C</w:t>
            </w:r>
            <w:r w:rsidRPr="00480EFE">
              <w:rPr>
                <w:rStyle w:val="Kappaleenoletusfontti"/>
                <w:rFonts w:ascii="Arial" w:hAnsi="Arial" w:cs="Arial"/>
                <w:color w:val="002060"/>
                <w:lang w:val="en-GB"/>
              </w:rPr>
              <w:t>lients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D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 xml:space="preserve">evelop co-operation skills by working as an team </w:t>
            </w:r>
          </w:p>
          <w:p w:rsidR="00480EFE" w:rsidRPr="00480EFE" w:rsidRDefault="00A30CB7" w:rsidP="00A30CB7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C</w:t>
            </w:r>
            <w:r w:rsidR="00480EFE" w:rsidRPr="00480EFE">
              <w:rPr>
                <w:rFonts w:ascii="Arial" w:hAnsi="Arial" w:cs="Arial"/>
                <w:color w:val="002060"/>
                <w:lang w:val="en-US"/>
              </w:rPr>
              <w:t xml:space="preserve">ontacts to the different actors </w:t>
            </w:r>
          </w:p>
          <w:p w:rsidR="00480EFE" w:rsidRPr="00480EFE" w:rsidRDefault="00A30CB7" w:rsidP="00A30CB7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P</w:t>
            </w:r>
            <w:r w:rsidR="00480EFE" w:rsidRPr="00480EFE">
              <w:rPr>
                <w:rFonts w:ascii="Arial" w:hAnsi="Arial" w:cs="Arial"/>
                <w:color w:val="002060"/>
                <w:lang w:val="en-US"/>
              </w:rPr>
              <w:t xml:space="preserve">lanning different activity concepts to the elderly clients </w:t>
            </w:r>
          </w:p>
          <w:p w:rsidR="00480EFE" w:rsidRPr="00480EFE" w:rsidRDefault="00A30CB7" w:rsidP="00A30CB7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I</w:t>
            </w:r>
            <w:r w:rsidR="00480EFE" w:rsidRPr="00480EFE">
              <w:rPr>
                <w:rFonts w:ascii="Arial" w:hAnsi="Arial" w:cs="Arial"/>
                <w:color w:val="002060"/>
                <w:lang w:val="en-US"/>
              </w:rPr>
              <w:t>mplementing activity groups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S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>tarting with the teacher and students (preparations)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C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>ontact to company or care unit to settle timetables for activity groups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color w:val="002060"/>
              </w:rPr>
            </w:pPr>
            <w:r>
              <w:rPr>
                <w:rStyle w:val="Kappaleenoletusfontti"/>
                <w:rFonts w:ascii="Arial" w:hAnsi="Arial" w:cs="Arial"/>
                <w:color w:val="002060"/>
                <w:lang w:val="en-US"/>
              </w:rPr>
              <w:t>M</w:t>
            </w:r>
            <w:r w:rsidRPr="00480EFE">
              <w:rPr>
                <w:rStyle w:val="Kappaleenoletusfontti"/>
                <w:rFonts w:ascii="Arial" w:hAnsi="Arial" w:cs="Arial"/>
                <w:color w:val="002060"/>
                <w:lang w:val="en-US"/>
              </w:rPr>
              <w:t>eetings with the clients and staff (1</w:t>
            </w:r>
            <w:r w:rsidRPr="00480EFE">
              <w:rPr>
                <w:rStyle w:val="Kappaleenoletusfontti"/>
                <w:rFonts w:ascii="Arial" w:hAnsi="Arial" w:cs="Arial"/>
                <w:color w:val="002060"/>
                <w:vertAlign w:val="superscript"/>
                <w:lang w:val="en-US"/>
              </w:rPr>
              <w:t>st</w:t>
            </w:r>
            <w:r w:rsidRPr="00480EFE">
              <w:rPr>
                <w:rStyle w:val="Kappaleenoletusfontti"/>
                <w:rFonts w:ascii="Arial" w:hAnsi="Arial" w:cs="Arial"/>
                <w:color w:val="002060"/>
                <w:lang w:val="en-US"/>
              </w:rPr>
              <w:t xml:space="preserve"> time: what are you expectations? What kind of activity you prefer?)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P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 xml:space="preserve">reparation and written plan: what do we do and why, target of the activity group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I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>t the target to activate memory and cognitive skills, relaxation / mindfulness, fun and entertainment, social skill etc.?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A</w:t>
            </w:r>
            <w:r w:rsidRPr="00480EFE">
              <w:rPr>
                <w:rFonts w:ascii="Arial" w:hAnsi="Arial" w:cs="Arial"/>
                <w:color w:val="002060"/>
                <w:lang w:val="en-US"/>
              </w:rPr>
              <w:t>ctivity groups 2 to 4 times (1h at the time) at the clients own environments</w:t>
            </w:r>
          </w:p>
        </w:tc>
      </w:tr>
    </w:tbl>
    <w:p w:rsidR="00364DEF" w:rsidRDefault="00364DEF">
      <w:r>
        <w:br w:type="page"/>
      </w:r>
    </w:p>
    <w:tbl>
      <w:tblPr>
        <w:tblStyle w:val="Tabelraster"/>
        <w:tblW w:w="10348" w:type="dxa"/>
        <w:tblInd w:w="-431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lastRenderedPageBreak/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12"/>
              </w:numPr>
              <w:spacing w:after="0" w:line="240" w:lineRule="auto"/>
            </w:pPr>
            <w:r w:rsidRPr="00480EFE">
              <w:rPr>
                <w:rStyle w:val="Kappaleenoletusfontti"/>
                <w:rFonts w:ascii="Arial" w:hAnsi="Arial" w:cs="Arial"/>
                <w:color w:val="002060"/>
                <w:lang w:val="en-GB"/>
              </w:rPr>
              <w:t xml:space="preserve">For example if the goal is to activate memory, senses and provide experiences and entertainments students can use and implement Art-group: how to use applications and web sites for art experiences =  </w:t>
            </w:r>
            <w:hyperlink r:id="rId7" w:history="1">
              <w:r w:rsidRPr="00480EFE">
                <w:rPr>
                  <w:rStyle w:val="Hyperlinkki"/>
                  <w:rFonts w:ascii="Arial" w:hAnsi="Arial" w:cs="Arial"/>
                  <w:lang w:val="en-GB"/>
                </w:rPr>
                <w:t>https://artsandculture.google.com/partner/ateneum-art-museum</w:t>
              </w:r>
            </w:hyperlink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Other examples can be: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Virtual museum/ art and culture: </w:t>
            </w:r>
            <w:hyperlink r:id="rId8" w:history="1">
              <w:r w:rsidRPr="008B18C9">
                <w:rPr>
                  <w:rStyle w:val="Hyperlink"/>
                  <w:rFonts w:ascii="Arial" w:hAnsi="Arial" w:cs="Arial"/>
                  <w:lang w:val="en-GB"/>
                </w:rPr>
                <w:t>https://artsandculture.google.com/project/360-videos</w:t>
              </w:r>
            </w:hyperlink>
            <w:r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480EFE">
              <w:rPr>
                <w:rFonts w:ascii="Arial" w:hAnsi="Arial" w:cs="Arial"/>
                <w:color w:val="002060"/>
                <w:lang w:val="en-GB"/>
              </w:rPr>
              <w:t xml:space="preserve">History game: </w:t>
            </w:r>
            <w:hyperlink r:id="rId9" w:history="1">
              <w:r w:rsidRPr="008B18C9">
                <w:rPr>
                  <w:rStyle w:val="Hyperlink"/>
                  <w:rFonts w:ascii="Arial" w:hAnsi="Arial" w:cs="Arial"/>
                  <w:lang w:val="en-GB"/>
                </w:rPr>
                <w:t>http://game.it.jyu.fi/ennen/</w:t>
              </w:r>
            </w:hyperlink>
            <w:r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3"/>
              </w:numPr>
              <w:spacing w:after="0" w:line="240" w:lineRule="auto"/>
            </w:pPr>
            <w:r w:rsidRPr="00480EFE">
              <w:rPr>
                <w:rStyle w:val="Kappaleenoletusfontti"/>
                <w:rFonts w:ascii="Arial" w:hAnsi="Arial" w:cs="Arial"/>
                <w:color w:val="002060"/>
                <w:lang w:val="en-GB"/>
              </w:rPr>
              <w:t xml:space="preserve">Virtual travelling (The Finnish Association for Mental Health): Mindfulness and relaxation, walking in the woods  </w:t>
            </w:r>
            <w:hyperlink r:id="rId10" w:history="1">
              <w:r w:rsidRPr="00480EFE">
                <w:rPr>
                  <w:rStyle w:val="Hyperlinkki"/>
                  <w:rFonts w:ascii="Arial" w:hAnsi="Arial" w:cs="Arial"/>
                  <w:lang w:val="en-GB"/>
                </w:rPr>
                <w:t>https://www.mielenterveysseura.fi/fi/virtuaalinen-mets%C3%A4k%C3%A4vely-kev%C3%A4isess%C3%A4-luonnossa</w:t>
              </w:r>
            </w:hyperlink>
          </w:p>
          <w:p w:rsidR="00480EFE" w:rsidRPr="00480EFE" w:rsidRDefault="00A30CB7" w:rsidP="00A30CB7">
            <w:pPr>
              <w:pStyle w:val="Luettelokappale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W</w:t>
            </w:r>
            <w:r w:rsidR="00480EFE" w:rsidRPr="00480EFE">
              <w:rPr>
                <w:rFonts w:ascii="Arial" w:hAnsi="Arial" w:cs="Arial"/>
                <w:color w:val="002060"/>
                <w:lang w:val="en-GB"/>
              </w:rPr>
              <w:t>hat do you need: iPads, computer with the wide screen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C</w:t>
            </w:r>
            <w:r w:rsidRPr="00480EFE"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an be qualitative and/or quantitative verbal/ written from the clients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E</w:t>
            </w:r>
            <w:r w:rsidRPr="00480EFE"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valuation for the whole unit (by the teacher): written plan, active team work, planning and implementing, students own reflection (written and verbal), pass/ fail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  <w:hideMark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480EFE" w:rsidRPr="00480EFE" w:rsidRDefault="00480EFE" w:rsidP="00A30CB7">
            <w:pPr>
              <w:pStyle w:val="Luettelokappal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R</w:t>
            </w:r>
            <w:r w:rsidRPr="00480EFE"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eal life client contacts, plan and offer mental-, cognitive and physical activities to the elderly clients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R</w:t>
            </w:r>
            <w:r w:rsidRPr="00480EFE"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eal life client contacts, project managing skills, co-operation skills</w:t>
            </w:r>
          </w:p>
          <w:p w:rsidR="00480EFE" w:rsidRPr="00480EFE" w:rsidRDefault="00480EFE" w:rsidP="00A30CB7">
            <w:pPr>
              <w:pStyle w:val="Luettelokappale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>S</w:t>
            </w:r>
            <w:r w:rsidRPr="00480EFE">
              <w:rPr>
                <w:rFonts w:ascii="Arial" w:hAnsi="Arial" w:cs="Arial"/>
                <w:color w:val="002060"/>
                <w:sz w:val="24"/>
                <w:szCs w:val="24"/>
                <w:lang w:val="en-US"/>
              </w:rPr>
              <w:t xml:space="preserve">tudents can spend more time with the different individuals, communicate and activate </w:t>
            </w:r>
          </w:p>
        </w:tc>
      </w:tr>
      <w:tr w:rsidR="00480EFE" w:rsidRPr="00D91A78" w:rsidTr="00480EFE">
        <w:trPr>
          <w:trHeight w:val="300"/>
        </w:trPr>
        <w:tc>
          <w:tcPr>
            <w:tcW w:w="3261" w:type="dxa"/>
            <w:noWrap/>
          </w:tcPr>
          <w:p w:rsidR="00480EFE" w:rsidRPr="00D91A78" w:rsidRDefault="00480EFE" w:rsidP="00480EFE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480EFE" w:rsidRDefault="00480EFE" w:rsidP="00480EFE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480EFE" w:rsidRDefault="00480EFE" w:rsidP="00480EFE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480EFE" w:rsidRPr="00D91A78" w:rsidRDefault="00480EFE" w:rsidP="00480EFE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C38CA"/>
    <w:multiLevelType w:val="multilevel"/>
    <w:tmpl w:val="A66ADEBE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8E4"/>
    <w:multiLevelType w:val="hybridMultilevel"/>
    <w:tmpl w:val="5100C3EE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70777"/>
    <w:multiLevelType w:val="multilevel"/>
    <w:tmpl w:val="2320F3C2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5" w15:restartNumberingAfterBreak="0">
    <w:nsid w:val="3B0F7947"/>
    <w:multiLevelType w:val="multilevel"/>
    <w:tmpl w:val="B344BB96"/>
    <w:lvl w:ilvl="0">
      <w:numFmt w:val="bullet"/>
      <w:lvlText w:val="-"/>
      <w:lvlJc w:val="left"/>
      <w:pPr>
        <w:ind w:left="420" w:hanging="360"/>
      </w:pPr>
      <w:rPr>
        <w:rFonts w:ascii="Arial" w:eastAsia="Century Gothic" w:hAnsi="Arial" w:cs="Arial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6" w15:restartNumberingAfterBreak="0">
    <w:nsid w:val="3D396ACB"/>
    <w:multiLevelType w:val="multilevel"/>
    <w:tmpl w:val="92EAA648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43DA3BFE"/>
    <w:multiLevelType w:val="multilevel"/>
    <w:tmpl w:val="6DA4CDD0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8" w15:restartNumberingAfterBreak="0">
    <w:nsid w:val="618872E5"/>
    <w:multiLevelType w:val="multilevel"/>
    <w:tmpl w:val="23AA854A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9" w15:restartNumberingAfterBreak="0">
    <w:nsid w:val="61D90B97"/>
    <w:multiLevelType w:val="multilevel"/>
    <w:tmpl w:val="BACCC09E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0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3856DF"/>
    <w:multiLevelType w:val="multilevel"/>
    <w:tmpl w:val="DFA2CA6A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4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251393"/>
    <w:rsid w:val="00364DEF"/>
    <w:rsid w:val="0039465B"/>
    <w:rsid w:val="003C5BF4"/>
    <w:rsid w:val="00480EFE"/>
    <w:rsid w:val="004A049C"/>
    <w:rsid w:val="00817C0F"/>
    <w:rsid w:val="008E5E9A"/>
    <w:rsid w:val="00A30CB7"/>
    <w:rsid w:val="00A75FE2"/>
    <w:rsid w:val="00AA4FB0"/>
    <w:rsid w:val="00B163CA"/>
    <w:rsid w:val="00BC597E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41040F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  <w:style w:type="character" w:customStyle="1" w:styleId="Kappaleenoletusfontti">
    <w:name w:val="Kappaleen oletusfontti"/>
    <w:rsid w:val="00480EFE"/>
  </w:style>
  <w:style w:type="paragraph" w:customStyle="1" w:styleId="Normaali">
    <w:name w:val="Normaali"/>
    <w:rsid w:val="00480EFE"/>
    <w:pPr>
      <w:suppressAutoHyphens/>
      <w:autoSpaceDN w:val="0"/>
      <w:spacing w:after="200" w:line="276" w:lineRule="auto"/>
      <w:textAlignment w:val="baseline"/>
    </w:pPr>
    <w:rPr>
      <w:rFonts w:ascii="Century Gothic" w:eastAsia="Century Gothic" w:hAnsi="Century Gothic" w:cs="Tahoma"/>
      <w:lang w:val="fi-FI"/>
    </w:rPr>
  </w:style>
  <w:style w:type="paragraph" w:customStyle="1" w:styleId="Luettelokappale">
    <w:name w:val="Luettelokappale"/>
    <w:basedOn w:val="Normaali"/>
    <w:rsid w:val="00480EFE"/>
    <w:pPr>
      <w:ind w:left="7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80EFE"/>
    <w:rPr>
      <w:sz w:val="16"/>
      <w:szCs w:val="16"/>
    </w:rPr>
  </w:style>
  <w:style w:type="character" w:customStyle="1" w:styleId="Hyperlinkki">
    <w:name w:val="Hyperlinkki"/>
    <w:basedOn w:val="Kappaleenoletusfontti"/>
    <w:rsid w:val="00480EF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480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project/360-vide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sandculture.google.com/partner/ateneum-art-museu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elenterveysseura.fi/fi/virtuaalinen-mets&#228;k&#228;vely-kev&#228;isess&#228;-luonnos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me.it.jyu.fi/enne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2019-05-10T11:07:00Z</cp:lastPrinted>
  <dcterms:created xsi:type="dcterms:W3CDTF">2019-05-21T14:22:00Z</dcterms:created>
  <dcterms:modified xsi:type="dcterms:W3CDTF">2019-05-21T14:22:00Z</dcterms:modified>
</cp:coreProperties>
</file>